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36"/>
          <w:szCs w:val="36"/>
        </w:rPr>
        <w:t xml:space="preserve">MEDIA KIT</w:t>
      </w:r>
    </w:p>
    <w:p>
      <w:pPr>
        <w:jc w:val="center"/>
      </w:pPr>
      <w:r>
        <w:rPr>
          <w:rFonts w:ascii="Arial" w:cs="Arial" w:eastAsia="Arial" w:hAnsi="Arial"/>
          <w:b/>
          <w:bCs/>
          <w:sz w:val="28"/>
          <w:szCs w:val="28"/>
        </w:rPr>
        <w:t xml:space="preserve">TEDxHuntingValley</w:t>
      </w:r>
    </w:p>
    <w:p>
      <w:pPr>
        <w:jc w:val="center"/>
      </w:pPr>
      <w:r>
        <w:rPr>
          <w:rFonts w:ascii="Arial" w:cs="Arial" w:eastAsia="Arial" w:hAnsi="Arial"/>
          <w:i/>
          <w:iCs/>
          <w:color w:val="E8001A"/>
          <w:sz w:val="24"/>
          <w:szCs w:val="24"/>
        </w:rPr>
        <w:t xml:space="preserve">The Invisible Engine: The Forces We Forget</w:t>
      </w:r>
    </w:p>
    <w:p>
      <w:pPr>
        <w:jc w:val="center"/>
      </w:pPr>
      <w:r>
        <w:rPr>
          <w:rFonts w:ascii="Arial" w:cs="Arial" w:eastAsia="Arial" w:hAnsi="Arial"/>
          <w:color w:val="555555"/>
          <w:sz w:val="20"/>
          <w:szCs w:val="20"/>
        </w:rPr>
        <w:t xml:space="preserve">August 22, 2026  |  Gund Auditorium  |  University School  |  Hunting Valley, Ohio</w:t>
      </w:r>
    </w:p>
    <w:p>
      <w:r>
        <w:t xml:space="preserve"/>
      </w:r>
    </w:p>
    <w:p>
      <w:pPr>
        <w:pBdr>
          <w:bottom w:val="single" w:color="E8001A" w:sz="6" w:space="1"/>
        </w:pBdr>
      </w:pPr>
      <w:r>
        <w:rPr>
          <w:rFonts w:ascii="Arial" w:cs="Arial" w:eastAsia="Arial" w:hAnsi="Arial"/>
          <w:sz w:val="22"/>
          <w:szCs w:val="22"/>
        </w:rPr>
        <w:t xml:space="preserve"/>
      </w:r>
    </w:p>
    <w:p>
      <w:r>
        <w:t xml:space="preserve"/>
      </w:r>
    </w:p>
    <w:p>
      <w:pPr>
        <w:pBdr>
          <w:bottom w:val="single" w:color="E8001A" w:sz="4" w:space="1"/>
        </w:pBdr>
        <w:spacing w:after="120" w:before="240"/>
      </w:pPr>
      <w:r>
        <w:rPr>
          <w:rFonts w:ascii="Arial" w:cs="Arial" w:eastAsia="Arial" w:hAnsi="Arial"/>
          <w:b/>
          <w:bCs/>
          <w:color w:val="E8001A"/>
          <w:sz w:val="26"/>
          <w:szCs w:val="26"/>
        </w:rPr>
        <w:t xml:space="preserve">WHAT IT IS</w:t>
      </w:r>
    </w:p>
    <w:p>
      <w:r>
        <w:rPr>
          <w:rFonts w:ascii="Arial" w:cs="Arial" w:eastAsia="Arial" w:hAnsi="Arial"/>
          <w:sz w:val="22"/>
          <w:szCs w:val="22"/>
        </w:rPr>
        <w:t xml:space="preserve">TEDxHuntingValley is a fully licensed, independently organized TEDx event: the first independent community TEDx open to the public in Cleveland in over ten years. The event is organized by Charlie Martin and Jack Nelson, juniors at University School, with the guidance of Dr. Tyler Yoder, the licensed organizer. It follows the full standard TEDx format: live speakers, talks 12 minutes or under, no panels, no PowerPoints.</w:t>
      </w:r>
    </w:p>
    <w:p>
      <w:r>
        <w:t xml:space="preserve"/>
      </w:r>
    </w:p>
    <w:p>
      <w:pPr>
        <w:pBdr>
          <w:bottom w:val="single" w:color="E8001A" w:sz="4" w:space="1"/>
        </w:pBdr>
        <w:spacing w:after="120" w:before="240"/>
      </w:pPr>
      <w:r>
        <w:rPr>
          <w:rFonts w:ascii="Arial" w:cs="Arial" w:eastAsia="Arial" w:hAnsi="Arial"/>
          <w:b/>
          <w:bCs/>
          <w:color w:val="E8001A"/>
          <w:sz w:val="26"/>
          <w:szCs w:val="26"/>
        </w:rPr>
        <w:t xml:space="preserve">EVENT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August 22, 2026</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Time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TBD  -  contact for details</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Venue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Gund Auditorium, University School, Hunting Valley, Ohio</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Audience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 attendees maximum (per TED licensing)</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Format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Live speakers, talks 12 minutes or under, no distinction between student and adult speakers</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Theme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Invisible Engine: The Forces We Forget"</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After the Event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talks filmed and uploaded to TEDx YouTube channel (44M subscribers, 8B+ total views)</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Organizers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Charlie Martin and Jack Nelson (University School, Class of 2027)</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Licensed Organizer</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 Tyler Yoder, University School</w:t>
            </w:r>
          </w:p>
        </w:tc>
      </w:tr>
      <w:tr>
        <w:tc>
          <w:tcPr>
            <w:tcW w:type="dxa" w:w="22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tedxhuntingvalley@gmail.com | @tedxhuntingvalley</w:t>
            </w:r>
          </w:p>
        </w:tc>
      </w:tr>
    </w:tbl>
    <w:p>
      <w:r>
        <w:t xml:space="preserve"/>
      </w:r>
    </w:p>
    <w:p>
      <w:pPr>
        <w:pBdr>
          <w:bottom w:val="single" w:color="E8001A" w:sz="4" w:space="1"/>
        </w:pBdr>
        <w:spacing w:after="120" w:before="240"/>
      </w:pPr>
      <w:r>
        <w:rPr>
          <w:rFonts w:ascii="Arial" w:cs="Arial" w:eastAsia="Arial" w:hAnsi="Arial"/>
          <w:b/>
          <w:bCs/>
          <w:color w:val="E8001A"/>
          <w:sz w:val="26"/>
          <w:szCs w:val="26"/>
        </w:rPr>
        <w:t xml:space="preserve">KEY DATES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March 31,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Student speaker application opens</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April 11,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Press outreach begins / media kit released</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May 11, 2026 at 11:59 PM</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Student speaker application deadline  -  HARD DEADLINE</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May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Round 2 interviews at University School</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Early June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Final five speakers selected and announced</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June – July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Speaker coaching and talk development</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August 22, 2026</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TEDxHuntingValley  -  Gund Auditorium</w:t>
            </w:r>
          </w:p>
        </w:tc>
      </w:tr>
      <w:tr>
        <w:tc>
          <w:tcPr>
            <w:tcW w:type="dxa" w:w="2500"/>
            <w:tcBorders>
              <w:top w:val="single" w:color="CCCCCC" w:sz="1"/>
              <w:left w:val="single" w:color="CCCCCC" w:sz="1"/>
              <w:bottom w:val="single" w:color="CCCCCC" w:sz="1"/>
              <w:right w:val="single" w:color="CCCCCC" w:sz="1"/>
            </w:tcBorders>
            <w:shd w:fill="F8F8F8" w:val="clear"/>
            <w:tcMar>
              <w:top w:type="dxa" w:w="80"/>
              <w:left w:type="dxa" w:w="120"/>
              <w:bottom w:type="dxa" w:w="80"/>
              <w:right w:type="dxa" w:w="120"/>
            </w:tcMar>
          </w:tcPr>
          <w:p>
            <w:r>
              <w:rPr>
                <w:rFonts w:ascii="Arial" w:cs="Arial" w:eastAsia="Arial" w:hAnsi="Arial"/>
                <w:b/>
                <w:bCs/>
                <w:sz w:val="20"/>
                <w:szCs w:val="20"/>
              </w:rPr>
              <w:t xml:space="preserve">After August 22</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talks uploaded to TEDx YouTube channel</w:t>
            </w:r>
          </w:p>
        </w:tc>
      </w:tr>
    </w:tbl>
    <w:p>
      <w:r>
        <w:t xml:space="preserve"/>
      </w:r>
    </w:p>
    <w:p>
      <w:pPr>
        <w:pBdr>
          <w:bottom w:val="single" w:color="E8001A" w:sz="4" w:space="1"/>
        </w:pBdr>
        <w:spacing w:after="120" w:before="240"/>
      </w:pPr>
      <w:r>
        <w:rPr>
          <w:rFonts w:ascii="Arial" w:cs="Arial" w:eastAsia="Arial" w:hAnsi="Arial"/>
          <w:b/>
          <w:bCs/>
          <w:color w:val="E8001A"/>
          <w:sz w:val="26"/>
          <w:szCs w:val="26"/>
        </w:rPr>
        <w:t xml:space="preserve">THE THEME</w:t>
      </w:r>
    </w:p>
    <w:p>
      <w:r>
        <w:rPr>
          <w:rFonts w:ascii="Arial" w:cs="Arial" w:eastAsia="Arial" w:hAnsi="Arial"/>
          <w:b/>
          <w:bCs/>
          <w:sz w:val="22"/>
          <w:szCs w:val="22"/>
        </w:rPr>
        <w:t xml:space="preserve">"The Invisible Engine: The Forces We Forget"</w:t>
      </w:r>
    </w:p>
    <w:p>
      <w:r>
        <w:t xml:space="preserve"/>
      </w:r>
    </w:p>
    <w:p>
      <w:r>
        <w:rPr>
          <w:rFonts w:ascii="Arial" w:cs="Arial" w:eastAsia="Arial" w:hAnsi="Arial"/>
          <w:sz w:val="22"/>
          <w:szCs w:val="22"/>
        </w:rPr>
        <w:t xml:space="preserve">The most powerful forces in our lives are often the ones we never consciously acknowledge. The algorithm quietly narrowing what you think is possible. Gut bacteria influencing your mood in ways your brain does not control. Compound interest running silently behind every financial decision. The bias baked into a hiring process that no one will admit to. Social scripts so old they feel like instincts. The things running in the background of everything.</w:t>
      </w:r>
    </w:p>
    <w:p>
      <w:r>
        <w:t xml:space="preserve"/>
      </w:r>
    </w:p>
    <w:p>
      <w:r>
        <w:rPr>
          <w:rFonts w:ascii="Arial" w:cs="Arial" w:eastAsia="Arial" w:hAnsi="Arial"/>
          <w:b/>
          <w:bCs/>
          <w:sz w:val="22"/>
          <w:szCs w:val="22"/>
        </w:rPr>
        <w:t xml:space="preserve">Example talks the theme could generate:</w:t>
      </w:r>
    </w:p>
    <w:p>
      <w:pPr>
        <w:spacing w:after="60"/>
        <w:ind w:left="360"/>
      </w:pPr>
      <w:r>
        <w:rPr>
          <w:rFonts w:ascii="Arial" w:cs="Arial" w:eastAsia="Arial" w:hAnsi="Arial"/>
          <w:sz w:val="22"/>
          <w:szCs w:val="22"/>
        </w:rPr>
        <w:t xml:space="preserve">• The gut-brain axis: how the microbiome shapes mood, cognition, and identity in ways medicine is only beginning to map.</w:t>
      </w:r>
    </w:p>
    <w:p>
      <w:pPr>
        <w:spacing w:after="60"/>
        <w:ind w:left="360"/>
      </w:pPr>
      <w:r>
        <w:rPr>
          <w:rFonts w:ascii="Arial" w:cs="Arial" w:eastAsia="Arial" w:hAnsi="Arial"/>
          <w:sz w:val="22"/>
          <w:szCs w:val="22"/>
        </w:rPr>
        <w:t xml:space="preserve">• Algorithmic redlining: how recommendation systems replicate and amplify historical housing discrimination in ways their designers never intended.</w:t>
      </w:r>
    </w:p>
    <w:p>
      <w:pPr>
        <w:spacing w:after="60"/>
        <w:ind w:left="360"/>
      </w:pPr>
      <w:r>
        <w:rPr>
          <w:rFonts w:ascii="Arial" w:cs="Arial" w:eastAsia="Arial" w:hAnsi="Arial"/>
          <w:sz w:val="22"/>
          <w:szCs w:val="22"/>
        </w:rPr>
        <w:t xml:space="preserve">• The compound effect of small advantages: why a 1% edge, repeated daily, produces outcomes that look like talent, and why it matters who starts with it.</w:t>
      </w:r>
    </w:p>
    <w:p>
      <w:pPr>
        <w:spacing w:after="60"/>
        <w:ind w:left="360"/>
      </w:pPr>
      <w:r>
        <w:rPr>
          <w:rFonts w:ascii="Arial" w:cs="Arial" w:eastAsia="Arial" w:hAnsi="Arial"/>
          <w:sz w:val="22"/>
          <w:szCs w:val="22"/>
        </w:rPr>
        <w:t xml:space="preserve">• Institutional memory: how organizations forget what they know, and the hidden mechanisms that determine what gets remembered and what gets erased.</w:t>
      </w:r>
    </w:p>
    <w:p>
      <w:r>
        <w:t xml:space="preserve"/>
      </w:r>
    </w:p>
    <w:p>
      <w:r>
        <w:rPr>
          <w:rFonts w:ascii="Arial" w:cs="Arial" w:eastAsia="Arial" w:hAnsi="Arial"/>
          <w:sz w:val="22"/>
          <w:szCs w:val="22"/>
        </w:rPr>
        <w:t xml:space="preserve">The theme is broad by design. It works across biology, economics, psychology, technology, and social systems. The connecting thread is always the same: something powerful is running in the background. The talk's job is to make it visible.</w:t>
      </w:r>
    </w:p>
    <w:p>
      <w:r>
        <w:t xml:space="preserve"/>
      </w:r>
    </w:p>
    <w:p>
      <w:pPr>
        <w:pBdr>
          <w:top w:val="single" w:color="E8001A" w:sz="6" w:space="1"/>
          <w:bottom w:val="single" w:color="E8001A" w:sz="6" w:space="1"/>
          <w:left w:val="single" w:color="E8001A" w:sz="6" w:space="1"/>
          <w:right w:val="single" w:color="E8001A" w:sz="6" w:space="1"/>
        </w:pBdr>
        <w:shd w:fill="FFF3F3" w:val="clear"/>
        <w:ind w:left="360" w:right="360"/>
        <w:jc w:val="center"/>
      </w:pPr>
      <w:r>
        <w:rPr>
          <w:rFonts w:ascii="Arial" w:cs="Arial" w:eastAsia="Arial" w:hAnsi="Arial"/>
          <w:i/>
          <w:iCs/>
          <w:sz w:val="24"/>
          <w:szCs w:val="24"/>
        </w:rPr>
        <w:t xml:space="preserve">"This is not a school showcase. A high school junior's idea is held to the exact same standard as anyone else's."</w:t>
      </w:r>
    </w:p>
    <w:p>
      <w:pPr>
        <w:jc w:val="center"/>
      </w:pPr>
      <w:r>
        <w:rPr>
          <w:rFonts w:ascii="Arial" w:cs="Arial" w:eastAsia="Arial" w:hAnsi="Arial"/>
          <w:i/>
          <w:iCs/>
          <w:color w:val="666666"/>
          <w:sz w:val="20"/>
          <w:szCs w:val="20"/>
        </w:rPr>
        <w:t xml:space="preserve"> -  Charlie Martin, co-organizer</w:t>
      </w:r>
    </w:p>
    <w:p>
      <w:r>
        <w:t xml:space="preserve"/>
      </w:r>
    </w:p>
    <w:p>
      <w:pPr>
        <w:pBdr>
          <w:bottom w:val="single" w:color="E8001A" w:sz="4" w:space="1"/>
        </w:pBdr>
        <w:spacing w:after="120" w:before="240"/>
      </w:pPr>
      <w:r>
        <w:rPr>
          <w:rFonts w:ascii="Arial" w:cs="Arial" w:eastAsia="Arial" w:hAnsi="Arial"/>
          <w:b/>
          <w:bCs/>
          <w:color w:val="E8001A"/>
          <w:sz w:val="26"/>
          <w:szCs w:val="26"/>
        </w:rPr>
        <w:t xml:space="preserve">WHAT MAKES IT DIFFERENT</w:t>
      </w:r>
    </w:p>
    <w:p>
      <w:pPr>
        <w:spacing w:after="60"/>
        <w:ind w:left="360"/>
      </w:pPr>
      <w:r>
        <w:rPr>
          <w:rFonts w:ascii="Arial" w:cs="Arial" w:eastAsia="Arial" w:hAnsi="Arial"/>
          <w:sz w:val="22"/>
          <w:szCs w:val="22"/>
        </w:rPr>
        <w:t xml:space="preserve">• First independent community TEDx open to the public in Cleveland since June 2015  -  more than a decade.</w:t>
      </w:r>
    </w:p>
    <w:p>
      <w:pPr>
        <w:spacing w:after="60"/>
        <w:ind w:left="360"/>
      </w:pPr>
      <w:r>
        <w:rPr>
          <w:rFonts w:ascii="Arial" w:cs="Arial" w:eastAsia="Arial" w:hAnsi="Arial"/>
          <w:sz w:val="22"/>
          <w:szCs w:val="22"/>
        </w:rPr>
        <w:t xml:space="preserve">• Student and adult speakers share the same stage with identical introductions. No age qualifier. No asterisk. An idea is an idea.</w:t>
      </w:r>
    </w:p>
    <w:p>
      <w:pPr>
        <w:spacing w:after="60"/>
        <w:ind w:left="360"/>
      </w:pPr>
      <w:r>
        <w:rPr>
          <w:rFonts w:ascii="Arial" w:cs="Arial" w:eastAsia="Arial" w:hAnsi="Arial"/>
          <w:sz w:val="22"/>
          <w:szCs w:val="22"/>
        </w:rPr>
        <w:t xml:space="preserve">• Open to any Cleveland-area high school student; no GPA requirement, no prior experience needed, selected entirely on idea strength.</w:t>
      </w:r>
    </w:p>
    <w:p>
      <w:pPr>
        <w:spacing w:after="60"/>
        <w:ind w:left="360"/>
      </w:pPr>
      <w:r>
        <w:rPr>
          <w:rFonts w:ascii="Arial" w:cs="Arial" w:eastAsia="Arial" w:hAnsi="Arial"/>
          <w:sz w:val="22"/>
          <w:szCs w:val="22"/>
        </w:rPr>
        <w:t xml:space="preserve">• Organized entirely by two high school juniors, not a school program or institution.</w:t>
      </w:r>
    </w:p>
    <w:p>
      <w:pPr>
        <w:spacing w:after="60"/>
        <w:ind w:left="360"/>
      </w:pPr>
      <w:r>
        <w:rPr>
          <w:rFonts w:ascii="Arial" w:cs="Arial" w:eastAsia="Arial" w:hAnsi="Arial"/>
          <w:sz w:val="22"/>
          <w:szCs w:val="22"/>
        </w:rPr>
        <w:t xml:space="preserve">• Every talk uploaded to TEDx YouTube after the event - local ideas reach a global audience of 44 million for free, forever.</w:t>
      </w:r>
    </w:p>
    <w:p>
      <w:r>
        <w:t xml:space="preserve"/>
      </w:r>
    </w:p>
    <w:p>
      <w:pPr>
        <w:pBdr>
          <w:bottom w:val="single" w:color="E8001A" w:sz="4" w:space="1"/>
        </w:pBdr>
        <w:spacing w:after="120" w:before="240"/>
      </w:pPr>
      <w:r>
        <w:rPr>
          <w:rFonts w:ascii="Arial" w:cs="Arial" w:eastAsia="Arial" w:hAnsi="Arial"/>
          <w:b/>
          <w:bCs/>
          <w:color w:val="E8001A"/>
          <w:sz w:val="26"/>
          <w:szCs w:val="26"/>
        </w:rPr>
        <w:t xml:space="preserve">THE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44 million</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TEDx YouTube channel subscribers</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8+ billion</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Total TEDx talk views globally</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241,000+</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TEDx talks published worldwide</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44,000+</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TEDx events held globally since 2009</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100</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Seats at TEDxHuntingValley (TED licensing cap)</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5</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Student speakers to be selected</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10+ years</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Since Cleveland's last independent community TEDx (June 2015)</w:t>
            </w:r>
          </w:p>
        </w:tc>
      </w:tr>
      <w:tr>
        <w:tc>
          <w:tcPr>
            <w:tcW w:type="dxa" w:w="2000"/>
            <w:tcBorders>
              <w:top w:val="single" w:color="CCCCCC" w:sz="1"/>
              <w:left w:val="single" w:color="CCCCCC" w:sz="1"/>
              <w:bottom w:val="single" w:color="CCCCCC" w:sz="1"/>
              <w:right w:val="single" w:color="CCCCCC" w:sz="1"/>
            </w:tcBorders>
            <w:shd w:fill="FFF3F3" w:val="clear"/>
            <w:tcMar>
              <w:top w:type="dxa" w:w="80"/>
              <w:left w:type="dxa" w:w="120"/>
              <w:bottom w:type="dxa" w:w="80"/>
              <w:right w:type="dxa" w:w="120"/>
            </w:tcMar>
          </w:tcPr>
          <w:p>
            <w:r>
              <w:rPr>
                <w:rFonts w:ascii="Arial" w:cs="Arial" w:eastAsia="Arial" w:hAnsi="Arial"/>
                <w:b/>
                <w:bCs/>
                <w:sz w:val="22"/>
                <w:szCs w:val="22"/>
              </w:rPr>
              <w:t xml:space="preserve">12 minutes</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Maximum talk length</w:t>
            </w:r>
          </w:p>
        </w:tc>
      </w:tr>
    </w:tbl>
    <w:p>
      <w:r>
        <w:t xml:space="preserve"/>
      </w:r>
    </w:p>
    <w:p>
      <w:pPr>
        <w:pBdr>
          <w:bottom w:val="single" w:color="E8001A" w:sz="4" w:space="1"/>
        </w:pBdr>
        <w:spacing w:after="120" w:before="240"/>
      </w:pPr>
      <w:r>
        <w:rPr>
          <w:rFonts w:ascii="Arial" w:cs="Arial" w:eastAsia="Arial" w:hAnsi="Arial"/>
          <w:b/>
          <w:bCs/>
          <w:color w:val="E8001A"/>
          <w:sz w:val="26"/>
          <w:szCs w:val="26"/>
        </w:rPr>
        <w:t xml:space="preserve">STORY ANGLES</w:t>
      </w:r>
    </w:p>
    <w:p>
      <w:r>
        <w:rPr>
          <w:rFonts w:ascii="Arial" w:cs="Arial" w:eastAsia="Arial" w:hAnsi="Arial"/>
          <w:b/>
          <w:bCs/>
          <w:sz w:val="22"/>
          <w:szCs w:val="22"/>
        </w:rPr>
        <w:t xml:space="preserve">1. The Student Contest</w:t>
      </w:r>
      <w:r>
        <w:rPr>
          <w:rFonts w:ascii="Arial" w:cs="Arial" w:eastAsia="Arial" w:hAnsi="Arial"/>
          <w:sz w:val="22"/>
          <w:szCs w:val="22"/>
        </w:rPr>
        <w:t xml:space="preserve">  -  Any Cleveland-area high school student can apply. May 11 deadline. Five speakers selected, coaching through July, stage on August 22. The selection process is a story about ideas, not credentials. What are teenagers in Cleveland thinking about in 2026?</w:t>
      </w:r>
    </w:p>
    <w:p>
      <w:r>
        <w:t xml:space="preserve"/>
      </w:r>
    </w:p>
    <w:p>
      <w:r>
        <w:rPr>
          <w:rFonts w:ascii="Arial" w:cs="Arial" w:eastAsia="Arial" w:hAnsi="Arial"/>
          <w:b/>
          <w:bCs/>
          <w:sz w:val="22"/>
          <w:szCs w:val="22"/>
        </w:rPr>
        <w:t xml:space="preserve">2. The Cleveland Gap</w:t>
      </w:r>
      <w:r>
        <w:rPr>
          <w:rFonts w:ascii="Arial" w:cs="Arial" w:eastAsia="Arial" w:hAnsi="Arial"/>
          <w:sz w:val="22"/>
          <w:szCs w:val="22"/>
        </w:rPr>
        <w:t xml:space="preserve">  -  Cleveland's last independent community TEDx was June 2015. More than a decade with no public ideas platform of this kind. Two high school juniors noticed, got a license from TED, and built one themselves. Why did it take this long?</w:t>
      </w:r>
    </w:p>
    <w:p>
      <w:r>
        <w:t xml:space="preserve"/>
      </w:r>
    </w:p>
    <w:p>
      <w:r>
        <w:rPr>
          <w:rFonts w:ascii="Arial" w:cs="Arial" w:eastAsia="Arial" w:hAnsi="Arial"/>
          <w:b/>
          <w:bCs/>
          <w:sz w:val="22"/>
          <w:szCs w:val="22"/>
        </w:rPr>
        <w:t xml:space="preserve">3. The Equal Stage Model</w:t>
      </w:r>
      <w:r>
        <w:rPr>
          <w:rFonts w:ascii="Arial" w:cs="Arial" w:eastAsia="Arial" w:hAnsi="Arial"/>
          <w:sz w:val="22"/>
          <w:szCs w:val="22"/>
        </w:rPr>
        <w:t xml:space="preserve">  -  Student speakers are not introduced as students. They are introduced as TEDxHuntingValley speakers  -  identical to every adult on the same stage. No age qualifier. No asterisk. An idea is an idea.</w:t>
      </w:r>
    </w:p>
    <w:p>
      <w:r>
        <w:t xml:space="preserve"/>
      </w:r>
    </w:p>
    <w:p>
      <w:r>
        <w:rPr>
          <w:rFonts w:ascii="Arial" w:cs="Arial" w:eastAsia="Arial" w:hAnsi="Arial"/>
          <w:b/>
          <w:bCs/>
          <w:sz w:val="22"/>
          <w:szCs w:val="22"/>
        </w:rPr>
        <w:t xml:space="preserve">4. The Organizers</w:t>
      </w:r>
      <w:r>
        <w:rPr>
          <w:rFonts w:ascii="Arial" w:cs="Arial" w:eastAsia="Arial" w:hAnsi="Arial"/>
          <w:sz w:val="22"/>
          <w:szCs w:val="22"/>
        </w:rPr>
        <w:t xml:space="preserve">  -  Two high school juniors who filed a TED license application, negotiated a venue partnership, built a media outreach program, and are running a city-wide speaker competition  -  all as a side project outside school.</w:t>
      </w:r>
    </w:p>
    <w:p>
      <w:r>
        <w:t xml:space="preserve"/>
      </w:r>
    </w:p>
    <w:p>
      <w:r>
        <w:rPr>
          <w:rFonts w:ascii="Arial" w:cs="Arial" w:eastAsia="Arial" w:hAnsi="Arial"/>
          <w:b/>
          <w:bCs/>
          <w:sz w:val="22"/>
          <w:szCs w:val="22"/>
        </w:rPr>
        <w:t xml:space="preserve">5. The Coaching Arc</w:t>
      </w:r>
      <w:r>
        <w:rPr>
          <w:rFonts w:ascii="Arial" w:cs="Arial" w:eastAsia="Arial" w:hAnsi="Arial"/>
          <w:sz w:val="22"/>
          <w:szCs w:val="22"/>
        </w:rPr>
        <w:t xml:space="preserve">  -  Five selected student speakers enter a multi-month coaching program in June and July to develop their talks. What does it look like to prepare a 16-year-old for a globally distributed stage?</w:t>
      </w:r>
    </w:p>
    <w:p>
      <w:r>
        <w:t xml:space="preserve"/>
      </w:r>
    </w:p>
    <w:p>
      <w:pPr>
        <w:pBdr>
          <w:bottom w:val="single" w:color="E8001A" w:sz="4" w:space="1"/>
        </w:pBdr>
        <w:spacing w:after="120" w:before="240"/>
      </w:pPr>
      <w:r>
        <w:rPr>
          <w:rFonts w:ascii="Arial" w:cs="Arial" w:eastAsia="Arial" w:hAnsi="Arial"/>
          <w:b/>
          <w:bCs/>
          <w:color w:val="E8001A"/>
          <w:sz w:val="26"/>
          <w:szCs w:val="26"/>
        </w:rPr>
        <w:t xml:space="preserve">WHAT WE CAN PROVIDE</w:t>
      </w:r>
    </w:p>
    <w:p>
      <w:pPr>
        <w:spacing w:after="60"/>
        <w:ind w:left="360"/>
      </w:pPr>
      <w:r>
        <w:rPr>
          <w:rFonts w:ascii="Arial" w:cs="Arial" w:eastAsia="Arial" w:hAnsi="Arial"/>
          <w:sz w:val="22"/>
          <w:szCs w:val="22"/>
        </w:rPr>
        <w:t xml:space="preserve">• Interviews with organizers Charlie Martin and Jack Nelson  -  available by phone, email, or in person</w:t>
      </w:r>
    </w:p>
    <w:p>
      <w:pPr>
        <w:spacing w:after="60"/>
        <w:ind w:left="360"/>
      </w:pPr>
      <w:r>
        <w:rPr>
          <w:rFonts w:ascii="Arial" w:cs="Arial" w:eastAsia="Arial" w:hAnsi="Arial"/>
          <w:sz w:val="22"/>
          <w:szCs w:val="22"/>
        </w:rPr>
        <w:t xml:space="preserve">• Interviews with student applicants before May 11 (several have agreed to speak with press)</w:t>
      </w:r>
    </w:p>
    <w:p>
      <w:pPr>
        <w:spacing w:after="60"/>
        <w:ind w:left="360"/>
      </w:pPr>
      <w:r>
        <w:rPr>
          <w:rFonts w:ascii="Arial" w:cs="Arial" w:eastAsia="Arial" w:hAnsi="Arial"/>
          <w:sz w:val="22"/>
          <w:szCs w:val="22"/>
        </w:rPr>
        <w:t xml:space="preserve">• Interviews with selected speakers in early June after final selection is announced</w:t>
      </w:r>
    </w:p>
    <w:p>
      <w:pPr>
        <w:spacing w:after="60"/>
        <w:ind w:left="360"/>
      </w:pPr>
      <w:r>
        <w:rPr>
          <w:rFonts w:ascii="Arial" w:cs="Arial" w:eastAsia="Arial" w:hAnsi="Arial"/>
          <w:sz w:val="22"/>
          <w:szCs w:val="22"/>
        </w:rPr>
        <w:t xml:space="preserve">• Behind-the-scenes access through rehearsals and the coaching process (June-July)</w:t>
      </w:r>
    </w:p>
    <w:p>
      <w:pPr>
        <w:spacing w:after="60"/>
        <w:ind w:left="360"/>
      </w:pPr>
      <w:r>
        <w:rPr>
          <w:rFonts w:ascii="Arial" w:cs="Arial" w:eastAsia="Arial" w:hAnsi="Arial"/>
          <w:sz w:val="22"/>
          <w:szCs w:val="22"/>
        </w:rPr>
        <w:t xml:space="preserve">• Press credentials for August 22 event  -  contact us to request</w:t>
      </w:r>
    </w:p>
    <w:p>
      <w:pPr>
        <w:spacing w:after="60"/>
        <w:ind w:left="360"/>
      </w:pPr>
      <w:r>
        <w:rPr>
          <w:rFonts w:ascii="Arial" w:cs="Arial" w:eastAsia="Arial" w:hAnsi="Arial"/>
          <w:sz w:val="22"/>
          <w:szCs w:val="22"/>
        </w:rPr>
        <w:t xml:space="preserve">• High-resolution event photos after August 22</w:t>
      </w:r>
    </w:p>
    <w:p>
      <w:pPr>
        <w:spacing w:after="60"/>
        <w:ind w:left="360"/>
      </w:pPr>
      <w:r>
        <w:rPr>
          <w:rFonts w:ascii="Arial" w:cs="Arial" w:eastAsia="Arial" w:hAnsi="Arial"/>
          <w:sz w:val="22"/>
          <w:szCs w:val="22"/>
        </w:rPr>
        <w:t xml:space="preserve">• Speaker bios and talk summaries once selections are finalized in early June</w:t>
      </w:r>
    </w:p>
    <w:p>
      <w:pPr>
        <w:spacing w:after="60"/>
        <w:ind w:left="360"/>
      </w:pPr>
      <w:r>
        <w:rPr>
          <w:rFonts w:ascii="Arial" w:cs="Arial" w:eastAsia="Arial" w:hAnsi="Arial"/>
          <w:sz w:val="22"/>
          <w:szCs w:val="22"/>
        </w:rPr>
        <w:t xml:space="preserve">• A 10-minute call to walk any journalist through the full story before the May 11 deadline</w:t>
      </w:r>
    </w:p>
    <w:p>
      <w:r>
        <w:t xml:space="preserve"/>
      </w:r>
    </w:p>
    <w:p>
      <w:pPr>
        <w:pBdr>
          <w:bottom w:val="single" w:color="E8001A" w:sz="4" w:space="1"/>
        </w:pBdr>
        <w:spacing w:after="120" w:before="240"/>
      </w:pPr>
      <w:r>
        <w:rPr>
          <w:rFonts w:ascii="Arial" w:cs="Arial" w:eastAsia="Arial" w:hAnsi="Arial"/>
          <w:b/>
          <w:bCs/>
          <w:color w:val="E8001A"/>
          <w:sz w:val="26"/>
          <w:szCs w:val="26"/>
        </w:rPr>
        <w:t xml:space="preserve">THE ORGANIZERS</w:t>
      </w:r>
    </w:p>
    <w:p>
      <w:r>
        <w:rPr>
          <w:rFonts w:ascii="Arial" w:cs="Arial" w:eastAsia="Arial" w:hAnsi="Arial"/>
          <w:sz w:val="22"/>
          <w:szCs w:val="22"/>
        </w:rPr>
        <w:t xml:space="preserve">Charlie Martin and Jack Nelson are juniors at University School in Cleveland, Ohio. They applied for and received the TEDx license in 2025 with guidance from Dr. Tyler Yoder, a History instructor at University School and the licensed organizer under TED's rules. TEDxHuntingValley is not a school project; it is independently organized.</w:t>
      </w:r>
    </w:p>
    <w:p>
      <w:r>
        <w:t xml:space="preserve"/>
      </w:r>
    </w:p>
    <w:p>
      <w:pPr>
        <w:pBdr>
          <w:bottom w:val="single" w:color="E8001A" w:sz="4" w:space="1"/>
        </w:pBdr>
        <w:spacing w:after="120" w:before="240"/>
      </w:pPr>
      <w:r>
        <w:rPr>
          <w:rFonts w:ascii="Arial" w:cs="Arial" w:eastAsia="Arial" w:hAnsi="Arial"/>
          <w:b/>
          <w:bCs/>
          <w:color w:val="E8001A"/>
          <w:sz w:val="26"/>
          <w:szCs w:val="26"/>
        </w:rPr>
        <w:t xml:space="preserve">MEDIA CONTACT</w:t>
      </w:r>
    </w:p>
    <w:p>
      <w:r>
        <w:rPr>
          <w:rFonts w:ascii="Arial" w:cs="Arial" w:eastAsia="Arial" w:hAnsi="Arial"/>
          <w:b/>
          <w:bCs/>
          <w:sz w:val="22"/>
          <w:szCs w:val="22"/>
        </w:rPr>
        <w:t xml:space="preserve">Charlie Martin and Jack Nelson</w:t>
      </w:r>
    </w:p>
    <w:p>
      <w:r>
        <w:rPr>
          <w:rFonts w:ascii="Arial" w:cs="Arial" w:eastAsia="Arial" w:hAnsi="Arial"/>
          <w:sz w:val="22"/>
          <w:szCs w:val="22"/>
        </w:rPr>
        <w:t xml:space="preserve">TEDxHuntingValley</w:t>
      </w:r>
    </w:p>
    <w:p>
      <w:r>
        <w:rPr>
          <w:rFonts w:ascii="Arial" w:cs="Arial" w:eastAsia="Arial" w:hAnsi="Arial"/>
          <w:sz w:val="22"/>
          <w:szCs w:val="22"/>
        </w:rPr>
        <w:t xml:space="preserve">tedxhuntingvalley@gmail.com</w:t>
      </w:r>
    </w:p>
    <w:p>
      <w:r>
        <w:rPr>
          <w:rFonts w:ascii="Arial" w:cs="Arial" w:eastAsia="Arial" w:hAnsi="Arial"/>
          <w:sz w:val="22"/>
          <w:szCs w:val="22"/>
        </w:rPr>
        <w:t xml:space="preserve">@tedxhuntingvalley</w:t>
      </w:r>
    </w:p>
    <w:p>
      <w:r>
        <w:t xml:space="preserve"/>
      </w:r>
    </w:p>
    <w:p>
      <w:pPr>
        <w:pBdr>
          <w:bottom w:val="single" w:color="E8001A" w:sz="6" w:space="1"/>
        </w:pBdr>
      </w:pPr>
      <w:r>
        <w:rPr>
          <w:rFonts w:ascii="Arial" w:cs="Arial" w:eastAsia="Arial" w:hAnsi="Arial"/>
          <w:sz w:val="22"/>
          <w:szCs w:val="22"/>
        </w:rPr>
        <w:t xml:space="preserve"/>
      </w:r>
    </w:p>
    <w:p>
      <w:r>
        <w:t xml:space="preserve"/>
      </w:r>
    </w:p>
    <w:p>
      <w:r>
        <w:rPr>
          <w:rFonts w:ascii="Arial" w:cs="Arial" w:eastAsia="Arial" w:hAnsi="Arial"/>
          <w:i/>
          <w:iCs/>
          <w:sz w:val="18"/>
          <w:szCs w:val="18"/>
        </w:rPr>
        <w:t xml:space="preserve">This independent TEDx event is operated under license from TED. TEDxHuntingValley is independently organized and is not affiliated with or sponsored by University School or TED beyond the licensing agreement.</w:t>
      </w:r>
    </w:p>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18"/>
        <w:szCs w:val="18"/>
      </w:rPr>
      <w:t xml:space="preserve">TEDxHuntingValley  |  </w:t>
    </w:r>
    <w:r>
      <w:rPr>
        <w:rFonts w:ascii="Arial" w:cs="Arial" w:eastAsia="Arial" w:hAnsi="Arial"/>
        <w:color w:val="555555"/>
        <w:sz w:val="18"/>
        <w:szCs w:val="18"/>
      </w:rPr>
      <w:t xml:space="preserve">August 22, 2026  |  Gund Auditorium, University School, Hunting Valley, OH  |  tedxhuntingvalley@gmail.com  |  @tedxhuntingvalley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2026-04-11T22:09:19.333Z</dcterms:created>
  <dcterms:modified xsi:type="dcterms:W3CDTF">2026-04-11T22:09:19.333Z</dcterms:modified>
</cp:coreProperties>
</file>

<file path=docProps/custom.xml><?xml version="1.0" encoding="utf-8"?>
<Properties xmlns="http://schemas.openxmlformats.org/officeDocument/2006/custom-properties" xmlns:vt="http://schemas.openxmlformats.org/officeDocument/2006/docPropsVTypes"/>
</file>